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1F1F32"/>
          <w:sz w:val="48"/>
        </w:rPr>
        <w:t>DONOR RESEARCH CHECKLIST</w:t>
      </w:r>
    </w:p>
    <w:p>
      <w:pPr>
        <w:jc w:val="center"/>
      </w:pPr>
      <w:r>
        <w:rPr>
          <w:color w:val="5A5A69"/>
          <w:sz w:val="24"/>
        </w:rPr>
        <w:t>A practical due-diligence tool for NGO funding decisions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968"/>
        <w:gridCol w:w="4968"/>
      </w:tblGrid>
      <w:tr>
        <w:tc>
          <w:tcPr>
            <w:tcW w:type="dxa" w:w="4968"/>
          </w:tcPr>
          <w:p>
            <w:r>
              <w:t>Donor / fund</w:t>
            </w:r>
          </w:p>
        </w:tc>
        <w:tc>
          <w:tcPr>
            <w:tcW w:type="dxa" w:w="4968"/>
          </w:tcPr>
          <w:p>
            <w:r>
              <w:t>[Enter]</w:t>
            </w:r>
          </w:p>
        </w:tc>
      </w:tr>
      <w:tr>
        <w:tc>
          <w:tcPr>
            <w:tcW w:type="dxa" w:w="4968"/>
          </w:tcPr>
          <w:p>
            <w:r>
              <w:t>Opportunity / programme</w:t>
            </w:r>
          </w:p>
        </w:tc>
        <w:tc>
          <w:tcPr>
            <w:tcW w:type="dxa" w:w="4968"/>
          </w:tcPr>
          <w:p>
            <w:r>
              <w:t>[Enter]</w:t>
            </w:r>
          </w:p>
        </w:tc>
      </w:tr>
      <w:tr>
        <w:tc>
          <w:tcPr>
            <w:tcW w:type="dxa" w:w="4968"/>
          </w:tcPr>
          <w:p>
            <w:r>
              <w:t>Research owner</w:t>
            </w:r>
          </w:p>
        </w:tc>
        <w:tc>
          <w:tcPr>
            <w:tcW w:type="dxa" w:w="4968"/>
          </w:tcPr>
          <w:p>
            <w:r>
              <w:t>[Enter]</w:t>
            </w:r>
          </w:p>
        </w:tc>
      </w:tr>
      <w:tr>
        <w:tc>
          <w:tcPr>
            <w:tcW w:type="dxa" w:w="4968"/>
          </w:tcPr>
          <w:p>
            <w:r>
              <w:t>Date reviewed</w:t>
            </w:r>
          </w:p>
        </w:tc>
        <w:tc>
          <w:tcPr>
            <w:tcW w:type="dxa" w:w="4968"/>
          </w:tcPr>
          <w:p>
            <w:r>
              <w:t>[YYYY-MM-DD]</w:t>
            </w:r>
          </w:p>
        </w:tc>
      </w:tr>
      <w:tr>
        <w:tc>
          <w:tcPr>
            <w:tcW w:type="dxa" w:w="4968"/>
          </w:tcPr>
          <w:p>
            <w:r>
              <w:t>Decision deadline</w:t>
            </w:r>
          </w:p>
        </w:tc>
        <w:tc>
          <w:tcPr>
            <w:tcW w:type="dxa" w:w="4968"/>
          </w:tcPr>
          <w:p>
            <w:r>
              <w:t>[YYYY-MM-DD]</w:t>
            </w:r>
          </w:p>
        </w:tc>
      </w:tr>
    </w:tbl>
    <w:p>
      <w:pPr>
        <w:pStyle w:val="Heading1"/>
      </w:pPr>
      <w:r>
        <w:t>1. Source verification</w:t>
      </w:r>
    </w:p>
    <w:p>
      <w:r>
        <w:t>☐ The opportunity appears on the donor’s official website or verified application portal.</w:t>
      </w:r>
    </w:p>
    <w:p>
      <w:r>
        <w:t>☐ The donor’s legal name, website domain and contact details are confirmed.</w:t>
      </w:r>
    </w:p>
    <w:p>
      <w:r>
        <w:t>☐ The deadline, timezone and submission channel are confirmed.</w:t>
      </w:r>
    </w:p>
    <w:p>
      <w:r>
        <w:t>☐ No application or recruitment fee is required.</w:t>
      </w:r>
    </w:p>
    <w:p>
      <w:r>
        <w:t>☐ The “last verified” date and official source URL are recorded.</w:t>
      </w:r>
    </w:p>
    <w:p>
      <w:pPr>
        <w:pStyle w:val="Heading1"/>
      </w:pPr>
      <w:r>
        <w:t>2. Strategic fit</w:t>
      </w:r>
    </w:p>
    <w:p>
      <w:r>
        <w:t>☐ The funding objective aligns with the organisation’s mandate and strategy.</w:t>
      </w:r>
    </w:p>
    <w:p>
      <w:r>
        <w:t>☐ The geography and target population match current capacity and relationships.</w:t>
      </w:r>
    </w:p>
    <w:p>
      <w:r>
        <w:t>☐ The organisation can demonstrate relevant technical experience and results.</w:t>
      </w:r>
    </w:p>
    <w:p>
      <w:r>
        <w:t>☐ The opportunity supports priority work rather than creating mission drift.</w:t>
      </w:r>
    </w:p>
    <w:p>
      <w:r>
        <w:t>☐ Leadership and programme owners support pursuing the opportunity.</w:t>
      </w:r>
    </w:p>
    <w:p>
      <w:pPr>
        <w:pStyle w:val="Heading1"/>
      </w:pPr>
      <w:r>
        <w:t>3. Eligibility</w:t>
      </w:r>
    </w:p>
    <w:p>
      <w:r>
        <w:t>☐ The organisation type and registration status are eligible.</w:t>
      </w:r>
    </w:p>
    <w:p>
      <w:r>
        <w:t>☐ Country, nationality and partnership rules are satisfied.</w:t>
      </w:r>
    </w:p>
    <w:p>
      <w:r>
        <w:t>☐ Minimum experience, turnover and audit requirements are satisfied.</w:t>
      </w:r>
    </w:p>
    <w:p>
      <w:r>
        <w:t>☐ Exclusion, sanctions and conflict-of-interest checks are complete.</w:t>
      </w:r>
    </w:p>
    <w:p>
      <w:r>
        <w:t>☐ Consortium, lead-applicant and sub-partner rules are understood.</w:t>
      </w:r>
    </w:p>
    <w:p>
      <w:pPr>
        <w:pStyle w:val="Heading1"/>
      </w:pPr>
      <w:r>
        <w:t>4. Financial feasibility</w:t>
      </w:r>
    </w:p>
    <w:p>
      <w:r>
        <w:t>☐ The requested amount and project duration are realistic.</w:t>
      </w:r>
    </w:p>
    <w:p>
      <w:r>
        <w:t>☐ Co-financing or match requirements can be met.</w:t>
      </w:r>
    </w:p>
    <w:p>
      <w:r>
        <w:t>☐ Indirect-cost, overhead and currency rules are acceptable.</w:t>
      </w:r>
    </w:p>
    <w:p>
      <w:r>
        <w:t>☐ Pre-financing and reimbursement arrangements are manageable.</w:t>
      </w:r>
    </w:p>
    <w:p>
      <w:r>
        <w:t>☐ The organisation can absorb the award without excessive cash-flow risk.</w:t>
      </w:r>
    </w:p>
    <w:p>
      <w:pPr>
        <w:pStyle w:val="Heading1"/>
      </w:pPr>
      <w:r>
        <w:t>5. Compliance and risk</w:t>
      </w:r>
    </w:p>
    <w:p>
      <w:r>
        <w:t>☐ Safeguarding, environmental, social and data-protection requirements can be met.</w:t>
      </w:r>
    </w:p>
    <w:p>
      <w:r>
        <w:t>☐ Procurement, audit, reporting and record-retention obligations are understood.</w:t>
      </w:r>
    </w:p>
    <w:p>
      <w:r>
        <w:t>☐ Political, security, fraud, sanctions and reputational risks are assessed.</w:t>
      </w:r>
    </w:p>
    <w:p>
      <w:r>
        <w:t>☐ Partners have completed proportionate due diligence.</w:t>
      </w:r>
    </w:p>
    <w:p>
      <w:r>
        <w:t>☐ Major risks have owners and mitigation actions.</w:t>
      </w:r>
    </w:p>
    <w:p>
      <w:pPr>
        <w:pStyle w:val="Heading1"/>
      </w:pPr>
      <w:r>
        <w:t>6. Proposal readiness</w:t>
      </w:r>
    </w:p>
    <w:p>
      <w:r>
        <w:t>☐ A clear problem statement and evidence base are available.</w:t>
      </w:r>
    </w:p>
    <w:p>
      <w:r>
        <w:t>☐ The theory of change, logframe and indicators can be developed in time.</w:t>
      </w:r>
    </w:p>
    <w:p>
      <w:r>
        <w:t>☐ Community and stakeholder participation can be documented.</w:t>
      </w:r>
    </w:p>
    <w:p>
      <w:r>
        <w:t>☐ A realistic work plan, budget and sustainability approach can be prepared.</w:t>
      </w:r>
    </w:p>
    <w:p>
      <w:r>
        <w:t>☐ Required annexes, registrations, signatures and approvals can be completed.</w:t>
      </w:r>
    </w:p>
    <w:p>
      <w:pPr>
        <w:pStyle w:val="Heading1"/>
      </w:pPr>
      <w:r>
        <w:t>Go / no-go decision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968"/>
        <w:gridCol w:w="4968"/>
      </w:tblGrid>
      <w:tr>
        <w:tc>
          <w:tcPr>
            <w:tcW w:type="dxa" w:w="4968"/>
          </w:tcPr>
          <w:p>
            <w:r>
              <w:t>Strategic fit</w:t>
            </w:r>
          </w:p>
        </w:tc>
        <w:tc>
          <w:tcPr>
            <w:tcW w:type="dxa" w:w="4968"/>
          </w:tcPr>
          <w:p>
            <w:r>
              <w:t>High / Medium / Low</w:t>
            </w:r>
          </w:p>
        </w:tc>
      </w:tr>
      <w:tr>
        <w:tc>
          <w:tcPr>
            <w:tcW w:type="dxa" w:w="4968"/>
          </w:tcPr>
          <w:p>
            <w:r>
              <w:t>Eligibility confidence</w:t>
            </w:r>
          </w:p>
        </w:tc>
        <w:tc>
          <w:tcPr>
            <w:tcW w:type="dxa" w:w="4968"/>
          </w:tcPr>
          <w:p>
            <w:r>
              <w:t>Confirmed / Unclear / Not eligible</w:t>
            </w:r>
          </w:p>
        </w:tc>
      </w:tr>
      <w:tr>
        <w:tc>
          <w:tcPr>
            <w:tcW w:type="dxa" w:w="4968"/>
          </w:tcPr>
          <w:p>
            <w:r>
              <w:t>Delivery capacity</w:t>
            </w:r>
          </w:p>
        </w:tc>
        <w:tc>
          <w:tcPr>
            <w:tcW w:type="dxa" w:w="4968"/>
          </w:tcPr>
          <w:p>
            <w:r>
              <w:t>Strong / Moderate / Weak</w:t>
            </w:r>
          </w:p>
        </w:tc>
      </w:tr>
      <w:tr>
        <w:tc>
          <w:tcPr>
            <w:tcW w:type="dxa" w:w="4968"/>
          </w:tcPr>
          <w:p>
            <w:r>
              <w:t>Financial feasibility</w:t>
            </w:r>
          </w:p>
        </w:tc>
        <w:tc>
          <w:tcPr>
            <w:tcW w:type="dxa" w:w="4968"/>
          </w:tcPr>
          <w:p>
            <w:r>
              <w:t>Acceptable / Review / Unacceptable</w:t>
            </w:r>
          </w:p>
        </w:tc>
      </w:tr>
      <w:tr>
        <w:tc>
          <w:tcPr>
            <w:tcW w:type="dxa" w:w="4968"/>
          </w:tcPr>
          <w:p>
            <w:r>
              <w:t>Overall risk</w:t>
            </w:r>
          </w:p>
        </w:tc>
        <w:tc>
          <w:tcPr>
            <w:tcW w:type="dxa" w:w="4968"/>
          </w:tcPr>
          <w:p>
            <w:r>
              <w:t>Low / Medium / High</w:t>
            </w:r>
          </w:p>
        </w:tc>
      </w:tr>
      <w:tr>
        <w:tc>
          <w:tcPr>
            <w:tcW w:type="dxa" w:w="4968"/>
          </w:tcPr>
          <w:p>
            <w:r>
              <w:t>Decision</w:t>
            </w:r>
          </w:p>
        </w:tc>
        <w:tc>
          <w:tcPr>
            <w:tcW w:type="dxa" w:w="4968"/>
          </w:tcPr>
          <w:p>
            <w:r>
              <w:t>GO / CONDITIONAL GO / NO-GO</w:t>
            </w:r>
          </w:p>
        </w:tc>
      </w:tr>
      <w:tr>
        <w:tc>
          <w:tcPr>
            <w:tcW w:type="dxa" w:w="4968"/>
          </w:tcPr>
          <w:p>
            <w:r>
              <w:t>Approver and date</w:t>
            </w:r>
          </w:p>
        </w:tc>
        <w:tc>
          <w:tcPr>
            <w:tcW w:type="dxa" w:w="4968"/>
          </w:tcPr>
          <w:p>
            <w:r>
              <w:t>[Enter]</w:t>
            </w:r>
          </w:p>
        </w:tc>
      </w:tr>
    </w:tbl>
    <w:p>
      <w:pPr>
        <w:pStyle w:val="Heading1"/>
      </w:pPr>
      <w:r>
        <w:t>Research notes and unresolved questions</w:t>
      </w:r>
    </w:p>
    <w:p>
      <w:r>
        <w:t>________________________________________________________________________________</w:t>
      </w:r>
    </w:p>
    <w:p>
      <w:r>
        <w:t>________________________________________________________________________________</w:t>
      </w:r>
    </w:p>
    <w:p>
      <w:r>
        <w:t>________________________________________________________________________________</w:t>
      </w:r>
    </w:p>
    <w:p>
      <w:r>
        <w:t>________________________________________________________________________________</w:t>
      </w:r>
    </w:p>
    <w:p>
      <w:r>
        <w:t>________________________________________________________________________________</w:t>
      </w:r>
    </w:p>
    <w:p>
      <w:r>
        <w:t>________________________________________________________________________________</w:t>
      </w:r>
    </w:p>
    <w:p>
      <w:r>
        <w:t>________________________________________________________________________________</w:t>
      </w:r>
    </w:p>
    <w:p>
      <w:r>
        <w:t>________________________________________________________________________________</w:t>
      </w:r>
    </w:p>
    <w:p>
      <w:r>
        <w:t>________________________________________________________________________________</w:t>
      </w:r>
    </w:p>
    <w:p>
      <w:r>
        <w:t>________________________________________________________________________________</w:t>
      </w:r>
    </w:p>
    <w:p>
      <w:r>
        <w:t>Important: This checklist supports internal decision-making. The official call documents and donor portal remain authoritative.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080" w:right="1152" w:bottom="1080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5A5A69"/>
        <w:sz w:val="16"/>
      </w:rPr>
      <w:t>Africa Training Institute • africatraininginstitute.org • Version 1.0 (2026)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right"/>
    </w:pPr>
    <w:r>
      <w:rPr>
        <w:b/>
        <w:color w:val="5A5A69"/>
        <w:sz w:val="16"/>
      </w:rPr>
      <w:t>AFRICA TRAINING INSTITUTE  |  FUNDING RESOURCE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120" w:line="276" w:lineRule="auto"/>
    </w:pPr>
    <w:rPr>
      <w:rFonts w:ascii="Calibri" w:hAnsi="Calibri"/>
      <w:color w:val="1F1F32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Calibri" w:hAnsi="Calibri"/>
      <w:b/>
      <w:bCs/>
      <w:color w:val="5B16C5"/>
      <w:sz w:val="32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Calibri" w:hAnsi="Calibri"/>
      <w:b/>
      <w:bCs/>
      <w:color w:val="5B16C5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